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b/>
          <w:color w:val="auto"/>
          <w:sz w:val="44"/>
          <w:szCs w:val="44"/>
        </w:rPr>
      </w:pPr>
      <w:r>
        <w:rPr>
          <w:rFonts w:hint="eastAsia" w:ascii="文星标宋" w:hAnsi="文星标宋" w:eastAsia="文星标宋" w:cs="文星标宋"/>
          <w:b/>
          <w:color w:val="auto"/>
          <w:sz w:val="44"/>
          <w:szCs w:val="44"/>
        </w:rPr>
        <w:t>河南创力新能源科技股份有限公司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文星标宋" w:hAnsi="文星标宋" w:eastAsia="文星标宋" w:cs="文星标宋"/>
          <w:b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文星标宋" w:hAnsi="文星标宋" w:eastAsia="文星标宋" w:cs="文星标宋"/>
          <w:b/>
          <w:color w:val="auto"/>
          <w:kern w:val="2"/>
          <w:sz w:val="44"/>
          <w:szCs w:val="44"/>
          <w:lang w:val="en-US" w:eastAsia="zh-CN" w:bidi="ar-SA"/>
        </w:rPr>
        <w:t>清洁生产审核第一次公示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</w:rPr>
        <w:t>依据《中华人民共和国环境保护法》、《中华人民共和国清洁生产促进法》、国家发改委和国家环保部颁布的《清洁生产审核办法》第38号令（2016年5月16日）、环境保护部《重点企业清洁生产审核程序的规定》（环发〔2005〕151号）、《关于进一步加强重点企业清洁生产审核工作的通知》（环发〔2008〕60号）、《关于全面推进重点企业清洁生产的通知》（环发〔2010〕54号）、生态环境部/国家发改委印发《清洁生产审核评估与验收指南》（环办科技〔2018〕5号）的有关规定，依法实施清洁生产，在新乡市生态环境局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延津分局</w:t>
      </w:r>
      <w:r>
        <w:rPr>
          <w:rFonts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</w:rPr>
        <w:t>的大力支持下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和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清洁生产</w:t>
      </w:r>
      <w:r>
        <w:rPr>
          <w:rFonts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</w:rPr>
        <w:t>咨询单位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的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指导下</w:t>
      </w:r>
      <w:r>
        <w:rPr>
          <w:rFonts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</w:rPr>
        <w:t>，在企业范围内开展了第一轮清洁生产审核工作。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一、企业基本情况</w:t>
      </w:r>
    </w:p>
    <w:tbl>
      <w:tblPr>
        <w:tblStyle w:val="7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62"/>
        <w:gridCol w:w="1750"/>
        <w:gridCol w:w="5116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项目</w:t>
            </w:r>
          </w:p>
        </w:tc>
        <w:tc>
          <w:tcPr>
            <w:tcW w:w="5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内容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5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河南创力新能源科技股份有限公司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5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C3842电池制造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企业类型</w:t>
            </w:r>
          </w:p>
        </w:tc>
        <w:tc>
          <w:tcPr>
            <w:tcW w:w="5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民营企业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5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杨玉锋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5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新乡市延津县榆东产业集聚区经十四路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主要产品</w:t>
            </w:r>
          </w:p>
        </w:tc>
        <w:tc>
          <w:tcPr>
            <w:tcW w:w="5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二次电池：氢镍电池、铁镍电池、锌镍电池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主要设备</w:t>
            </w:r>
          </w:p>
        </w:tc>
        <w:tc>
          <w:tcPr>
            <w:tcW w:w="5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合浆机、拉浆机、辊压机、卷绕机、装配线、化成柜、点焊机等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建厂日期</w:t>
            </w:r>
          </w:p>
        </w:tc>
        <w:tc>
          <w:tcPr>
            <w:tcW w:w="5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2015年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新厂区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投产日期</w:t>
            </w:r>
          </w:p>
        </w:tc>
        <w:tc>
          <w:tcPr>
            <w:tcW w:w="5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2019年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新厂区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工厂面积</w:t>
            </w:r>
          </w:p>
        </w:tc>
        <w:tc>
          <w:tcPr>
            <w:tcW w:w="5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49000</w:t>
            </w: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新厂区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建筑面积</w:t>
            </w:r>
          </w:p>
        </w:tc>
        <w:tc>
          <w:tcPr>
            <w:tcW w:w="5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18000㎡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新厂区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年总</w:t>
            </w: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产</w:t>
            </w: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值</w:t>
            </w:r>
          </w:p>
        </w:tc>
        <w:tc>
          <w:tcPr>
            <w:tcW w:w="5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1.1亿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2022年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-360" w:leftChars="0" w:right="0" w:rightChars="0" w:firstLine="240" w:firstLineChars="100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审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核前排污情况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Chars="100" w:right="0" w:rightChars="0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废水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废水主要包括，地面清洗废水和生活污水。地面清洗废水采用“混凝沉淀+陶瓷膜过滤+活性炭吸附”，治理后回用。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 w:firstLine="480" w:firstLineChars="200"/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生活污水采用化粪池+A/O一体化处理设施进行处理。处理后的废水水质化学需氧量30mg/L，PH值7.5，氨氮（NH3-N）8.5mg/L，总氮10mg/L，总磷1.2mg/L，满足《电池工业污染物排放标准》GB30484-2013；化学需氧量150mg/L，PH值6-9，氨氮（NH3-N）30mg/L，总氮40mg/L，总磷2.0mg/L。符合《延津县第二污水处理厂收水标准》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Chars="100" w:right="0" w:rightChars="0"/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废气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废气主要是脉冲式除尘机产生的，检测项目为颗粒物、镍及其化合物；有组织排放处理设施的的排气筒高度为15米，排气筒出口内径0.3米，数量共有3个。废气的排放标准《电池工业污染物排放标准》GB30484-2013，总悬浮颗粒物30mg/m³，镍及其化合物1.5mg/m³；我司排放检测颗粒物1.5mg/㎡，镍及其化合物0.025mg/m³，完全符合标准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Chars="100" w:right="0" w:rightChars="0"/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固废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 w:firstLine="480" w:firstLineChars="200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包括一般固废和危险废物，其中危险废物包括：含镍废物、废活性炭、废碱液。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一般固废综合利用或委托利用，危险废物送有资质单位处置。</w:t>
      </w:r>
    </w:p>
    <w:tbl>
      <w:tblPr>
        <w:tblStyle w:val="7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45"/>
        <w:gridCol w:w="1517"/>
        <w:gridCol w:w="1883"/>
        <w:gridCol w:w="1550"/>
        <w:gridCol w:w="1517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固废名称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2022年产生量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（t）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主要成分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性质及编号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处置措施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包装纸箱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纸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一般固废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委托处置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含镍废物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0.45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危废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384-005-46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送有资质单位处置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废活性炭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0.12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危废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900-041-49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送有资质单位处置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废碱液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1.57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危废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900-399-35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送有资质单位处置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 w:firstLine="480" w:firstLineChars="200"/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固废均能够满足《一般工业固体废物贮存、处置场污染控制标准》（GB18599-2020）和《危险废物贮存污染控制标准》（GB18597-2001）（2013修改单）相关要求。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Chars="100" w:right="0" w:rightChars="0"/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噪声</w:t>
      </w:r>
      <w:bookmarkStart w:id="0" w:name="_GoBack"/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高噪声设备为各种泵类、风机等产生的机械噪声。声源强度为昼间56dB(A)，夜间48dB(A)。噪声经进气口出气口安装消音器、厂房隔声和隔声罩处理后能够满足《工业企业厂界环境噪声排放标准》（GB12348-2008）2类昼间60dB(A)、夜间50dB(A)的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Arial" w:hAnsi="Arial" w:eastAsia="宋体" w:cs="Arial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684" w:right="1474" w:bottom="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DACCAA"/>
    <w:multiLevelType w:val="singleLevel"/>
    <w:tmpl w:val="E3DACC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366BFF5"/>
    <w:multiLevelType w:val="singleLevel"/>
    <w:tmpl w:val="2366BFF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ZjJhMDlmMTJjZDNhZGM2YWZiMjRiZTMwNTAzOWUifQ=="/>
  </w:docVars>
  <w:rsids>
    <w:rsidRoot w:val="00DD7AEE"/>
    <w:rsid w:val="000B3CE0"/>
    <w:rsid w:val="00257907"/>
    <w:rsid w:val="002D23D2"/>
    <w:rsid w:val="00313FB2"/>
    <w:rsid w:val="003E288E"/>
    <w:rsid w:val="004A4A5E"/>
    <w:rsid w:val="00557A2C"/>
    <w:rsid w:val="00855EEA"/>
    <w:rsid w:val="0086508E"/>
    <w:rsid w:val="00926146"/>
    <w:rsid w:val="00DD7AEE"/>
    <w:rsid w:val="06E76F0E"/>
    <w:rsid w:val="08485ECA"/>
    <w:rsid w:val="11F06710"/>
    <w:rsid w:val="2CD05A7A"/>
    <w:rsid w:val="39367DF5"/>
    <w:rsid w:val="3B8317DA"/>
    <w:rsid w:val="407940B4"/>
    <w:rsid w:val="45706531"/>
    <w:rsid w:val="476A13D7"/>
    <w:rsid w:val="4A8E5F82"/>
    <w:rsid w:val="551E0D3B"/>
    <w:rsid w:val="552D4252"/>
    <w:rsid w:val="5B2F4AE8"/>
    <w:rsid w:val="5C3D1D94"/>
    <w:rsid w:val="6A083435"/>
    <w:rsid w:val="789B0DD7"/>
    <w:rsid w:val="7E0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548</Words>
  <Characters>567</Characters>
  <Lines>3</Lines>
  <Paragraphs>1</Paragraphs>
  <TotalTime>198</TotalTime>
  <ScaleCrop>false</ScaleCrop>
  <LinksUpToDate>false</LinksUpToDate>
  <CharactersWithSpaces>597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2023-03-15T08:38:00Z</dcterms:created>
  <dc:creator>Micorosoft</dc:creator>
  <cp:lastModifiedBy>Administrator</cp:lastModifiedBy>
  <dcterms:modified xsi:type="dcterms:W3CDTF">2023-03-25T07:44:59Z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0A13EAE5586A40D1B30C810BF0B9AB1A</vt:lpwstr>
  </property>
</Properties>
</file>